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4C2" w:rsidRDefault="000574C2" w:rsidP="000574C2">
      <w:pPr>
        <w:spacing w:after="0"/>
        <w:ind w:firstLine="709"/>
        <w:jc w:val="center"/>
        <w:rPr>
          <w:rFonts w:ascii="Times New Roman" w:hAnsi="Times New Roman" w:cs="Times New Roman"/>
          <w:sz w:val="28"/>
          <w:szCs w:val="28"/>
        </w:rPr>
      </w:pPr>
      <w:r w:rsidRPr="000574C2">
        <w:rPr>
          <w:rFonts w:ascii="Times New Roman" w:hAnsi="Times New Roman" w:cs="Times New Roman"/>
          <w:sz w:val="28"/>
          <w:szCs w:val="28"/>
        </w:rPr>
        <w:t>Граждане</w:t>
      </w:r>
      <w:r w:rsidR="00A722BB">
        <w:rPr>
          <w:rFonts w:ascii="Times New Roman" w:hAnsi="Times New Roman" w:cs="Times New Roman"/>
          <w:sz w:val="28"/>
          <w:szCs w:val="28"/>
        </w:rPr>
        <w:t>,</w:t>
      </w:r>
      <w:r w:rsidRPr="000574C2">
        <w:rPr>
          <w:rFonts w:ascii="Times New Roman" w:hAnsi="Times New Roman" w:cs="Times New Roman"/>
          <w:sz w:val="28"/>
          <w:szCs w:val="28"/>
        </w:rPr>
        <w:t xml:space="preserve"> пострадавшие от мошеннических действий, имеют право обратиться в суд с иском о взыскании неосновательного обогащения</w:t>
      </w:r>
    </w:p>
    <w:p w:rsidR="000574C2" w:rsidRDefault="000574C2" w:rsidP="000574C2">
      <w:pPr>
        <w:spacing w:after="0"/>
        <w:ind w:firstLine="709"/>
        <w:jc w:val="center"/>
        <w:rPr>
          <w:rFonts w:ascii="Times New Roman" w:hAnsi="Times New Roman" w:cs="Times New Roman"/>
          <w:sz w:val="28"/>
          <w:szCs w:val="28"/>
        </w:rPr>
      </w:pPr>
    </w:p>
    <w:p w:rsidR="000574C2" w:rsidRPr="000574C2" w:rsidRDefault="000574C2" w:rsidP="000574C2">
      <w:pPr>
        <w:spacing w:after="0"/>
        <w:ind w:firstLine="709"/>
        <w:jc w:val="both"/>
        <w:rPr>
          <w:rFonts w:ascii="Times New Roman" w:hAnsi="Times New Roman" w:cs="Times New Roman"/>
          <w:sz w:val="28"/>
          <w:szCs w:val="28"/>
        </w:rPr>
      </w:pPr>
      <w:r w:rsidRPr="000574C2">
        <w:rPr>
          <w:rFonts w:ascii="Times New Roman" w:hAnsi="Times New Roman" w:cs="Times New Roman"/>
          <w:sz w:val="28"/>
          <w:szCs w:val="28"/>
        </w:rPr>
        <w:t>Как правило, перечисление денежных средств в рамках мошеннических операций производится на банковские карты, зарегистрированные на третьих лиц. Злоумышленники избегают использования собственных персональных данных.</w:t>
      </w:r>
    </w:p>
    <w:p w:rsidR="000574C2" w:rsidRPr="000574C2" w:rsidRDefault="000574C2" w:rsidP="000574C2">
      <w:pPr>
        <w:spacing w:after="0"/>
        <w:ind w:firstLine="709"/>
        <w:jc w:val="both"/>
        <w:rPr>
          <w:rFonts w:ascii="Times New Roman" w:hAnsi="Times New Roman" w:cs="Times New Roman"/>
          <w:sz w:val="28"/>
          <w:szCs w:val="28"/>
        </w:rPr>
      </w:pPr>
      <w:r w:rsidRPr="000574C2">
        <w:rPr>
          <w:rFonts w:ascii="Times New Roman" w:hAnsi="Times New Roman" w:cs="Times New Roman"/>
          <w:sz w:val="28"/>
          <w:szCs w:val="28"/>
        </w:rPr>
        <w:t>Исходя из положений пункта 1 статьи 845 Гражданского кодекса Российской Федерации (далее — ГК РФ), по соглашению о банковском счете банк принимает на себя обязательство принимать и зачислять поступающие на счет, открытый клиенту (держателю счета), денежные суммы, исполнять поручения клиента о перечислении и выдаче соответствующих средств со счета и осуществлении прочих операций по счету. Снятие денег со счета производится банком на основании поручения клиента. Без поручения клиента списание средств, размещенных на счете, разрешается по судебному акту, а равно в ситуациях, определенных законодательством либо предусмотренных соглашением между банком и клиентом. Договором может устанавливаться подтверждение прав распоряжения денежными суммами, числящимися на счете, посредством электронных средств платежа и иной документации с применением в них аналогов личной подписи, кодов, паролей и прочих инструментов, удостоверяющих, что распоряжение исходит от надлежаще уполномоченного лица.</w:t>
      </w:r>
    </w:p>
    <w:p w:rsidR="000574C2" w:rsidRPr="000574C2" w:rsidRDefault="000574C2" w:rsidP="000574C2">
      <w:pPr>
        <w:spacing w:after="0"/>
        <w:ind w:firstLine="709"/>
        <w:jc w:val="both"/>
        <w:rPr>
          <w:rFonts w:ascii="Times New Roman" w:hAnsi="Times New Roman" w:cs="Times New Roman"/>
          <w:sz w:val="28"/>
          <w:szCs w:val="28"/>
        </w:rPr>
      </w:pPr>
      <w:r w:rsidRPr="000574C2">
        <w:rPr>
          <w:rFonts w:ascii="Times New Roman" w:hAnsi="Times New Roman" w:cs="Times New Roman"/>
          <w:sz w:val="28"/>
          <w:szCs w:val="28"/>
        </w:rPr>
        <w:t>Нормативное регулирование электронных средств платежа реализуется согласно Федеральному закону от 27.06.2011 № 161-ФЗ «О национальной платежной системе». В соответствии с правилами эмиссии и обслуживания банковских карт, карта принадлежит банку и передается держателю во временное использование. Передача карты посторонним лицам и разглашение информации о ПИН-кодах строго запрещены условиями соглашения, заключаемого между банком и клиентом. Индивидуальную ответственность за операции с картой несет ее держатель. Следовательно, при передаче банковской карты постороннему субъекту все отрицательные последствия по осуществленным банковским операциям возлагаются на лицо, на имя которого эмитирована банковская карта.</w:t>
      </w:r>
    </w:p>
    <w:p w:rsidR="000574C2" w:rsidRPr="000574C2" w:rsidRDefault="000574C2" w:rsidP="000574C2">
      <w:pPr>
        <w:spacing w:after="0"/>
        <w:ind w:firstLine="709"/>
        <w:jc w:val="both"/>
        <w:rPr>
          <w:rFonts w:ascii="Times New Roman" w:hAnsi="Times New Roman" w:cs="Times New Roman"/>
          <w:sz w:val="28"/>
          <w:szCs w:val="28"/>
        </w:rPr>
      </w:pPr>
      <w:r w:rsidRPr="000574C2">
        <w:rPr>
          <w:rFonts w:ascii="Times New Roman" w:hAnsi="Times New Roman" w:cs="Times New Roman"/>
          <w:sz w:val="28"/>
          <w:szCs w:val="28"/>
        </w:rPr>
        <w:t>При зачислении денег на карту постороннее лицо, чаще всего за определенную плату, переводит средства мошенникам либо выражает согласие и позволяет им управлять его счетом. Таким образом, на держателях карты лежит бремя ответственности за все отрицательные результаты произведенных действий.</w:t>
      </w:r>
    </w:p>
    <w:p w:rsidR="000574C2" w:rsidRPr="000574C2" w:rsidRDefault="000574C2" w:rsidP="000574C2">
      <w:pPr>
        <w:spacing w:after="0"/>
        <w:ind w:firstLine="709"/>
        <w:jc w:val="both"/>
        <w:rPr>
          <w:rFonts w:ascii="Times New Roman" w:hAnsi="Times New Roman" w:cs="Times New Roman"/>
          <w:sz w:val="28"/>
          <w:szCs w:val="28"/>
        </w:rPr>
      </w:pPr>
      <w:bookmarkStart w:id="0" w:name="_GoBack"/>
      <w:r w:rsidRPr="000574C2">
        <w:rPr>
          <w:rFonts w:ascii="Times New Roman" w:hAnsi="Times New Roman" w:cs="Times New Roman"/>
          <w:sz w:val="28"/>
          <w:szCs w:val="28"/>
        </w:rPr>
        <w:t xml:space="preserve">В соответствии с пунктом 1 статьи 1102 ГК РФ лицо, которое без оснований, предусмотренных законом, иными правовыми актами или сделкой, получило или удержало имущество (приобретатель) за счет иного лица (потерпевшего), должно возвратить последнему неосновательно полученное </w:t>
      </w:r>
      <w:r w:rsidRPr="000574C2">
        <w:rPr>
          <w:rFonts w:ascii="Times New Roman" w:hAnsi="Times New Roman" w:cs="Times New Roman"/>
          <w:sz w:val="28"/>
          <w:szCs w:val="28"/>
        </w:rPr>
        <w:lastRenderedPageBreak/>
        <w:t>или удержанное имущество (неосновательное обогащение), кроме случаев, оговоренных статьей 1109 ГК РФ. Нормы, закрепленные главой 60 ГК РФ, подлежат применению вне зависимости от того, стало ли неосновательное обогащение следствием действий приобретателя имущества, самого потерпевшего, иных лиц либо возникло независимо от их воли. По смыслу приведенной нормы, для установления факта появления обязательства из неосновательного обогащения надлежит выявить совокупность следующих условий: сбережение имущества (неосновательное обогащение) у приобретателя; образование потерь у потерпевшего, выступающих источником обогащения приобретателя (обогащение за счет потерпевшего); отсутствие должного правового основания для возникновения перечисленных имущественных последствий.</w:t>
      </w:r>
    </w:p>
    <w:bookmarkEnd w:id="0"/>
    <w:p w:rsidR="00000E25" w:rsidRDefault="00000E25" w:rsidP="000574C2">
      <w:pPr>
        <w:spacing w:after="0"/>
        <w:ind w:firstLine="709"/>
        <w:jc w:val="both"/>
        <w:rPr>
          <w:rFonts w:ascii="Times New Roman" w:hAnsi="Times New Roman" w:cs="Times New Roman"/>
          <w:sz w:val="28"/>
          <w:szCs w:val="28"/>
        </w:rPr>
      </w:pPr>
    </w:p>
    <w:p w:rsidR="00AD5B42" w:rsidRDefault="00AD5B42" w:rsidP="000574C2">
      <w:pPr>
        <w:spacing w:after="0"/>
        <w:ind w:firstLine="709"/>
        <w:jc w:val="both"/>
        <w:rPr>
          <w:rFonts w:ascii="Times New Roman" w:hAnsi="Times New Roman" w:cs="Times New Roman"/>
          <w:sz w:val="28"/>
          <w:szCs w:val="28"/>
        </w:rPr>
      </w:pPr>
    </w:p>
    <w:p w:rsidR="00AD5B42" w:rsidRPr="00AD5B42" w:rsidRDefault="00AD5B42" w:rsidP="00AD5B42">
      <w:pPr>
        <w:spacing w:after="0" w:line="254" w:lineRule="auto"/>
        <w:rPr>
          <w:rFonts w:ascii="Times New Roman" w:eastAsia="Calibri" w:hAnsi="Times New Roman" w:cs="Times New Roman"/>
          <w:sz w:val="28"/>
          <w:szCs w:val="28"/>
        </w:rPr>
      </w:pPr>
      <w:r w:rsidRPr="00AD5B42">
        <w:rPr>
          <w:rFonts w:ascii="Times New Roman" w:eastAsia="Calibri" w:hAnsi="Times New Roman" w:cs="Times New Roman"/>
          <w:sz w:val="28"/>
          <w:szCs w:val="28"/>
        </w:rPr>
        <w:t xml:space="preserve">Исполнитель </w:t>
      </w:r>
      <w:r w:rsidRPr="00AD5B42">
        <w:rPr>
          <w:rFonts w:ascii="Times New Roman" w:eastAsia="Calibri" w:hAnsi="Times New Roman" w:cs="Times New Roman"/>
          <w:sz w:val="28"/>
          <w:szCs w:val="28"/>
        </w:rPr>
        <w:tab/>
      </w:r>
      <w:r w:rsidRPr="00AD5B42">
        <w:rPr>
          <w:rFonts w:ascii="Times New Roman" w:eastAsia="Calibri" w:hAnsi="Times New Roman" w:cs="Times New Roman"/>
          <w:sz w:val="28"/>
          <w:szCs w:val="28"/>
        </w:rPr>
        <w:tab/>
      </w:r>
      <w:r w:rsidRPr="00AD5B42">
        <w:rPr>
          <w:rFonts w:ascii="Times New Roman" w:eastAsia="Calibri" w:hAnsi="Times New Roman" w:cs="Times New Roman"/>
          <w:sz w:val="28"/>
          <w:szCs w:val="28"/>
        </w:rPr>
        <w:tab/>
        <w:t xml:space="preserve">         </w:t>
      </w:r>
      <w:r w:rsidRPr="00AD5B42">
        <w:rPr>
          <w:rFonts w:ascii="Times New Roman" w:eastAsia="Calibri" w:hAnsi="Times New Roman" w:cs="Times New Roman"/>
          <w:sz w:val="28"/>
          <w:szCs w:val="28"/>
        </w:rPr>
        <w:tab/>
      </w:r>
      <w:r w:rsidRPr="00AD5B42">
        <w:rPr>
          <w:rFonts w:ascii="Times New Roman" w:eastAsia="Calibri" w:hAnsi="Times New Roman" w:cs="Times New Roman"/>
          <w:sz w:val="28"/>
          <w:szCs w:val="28"/>
        </w:rPr>
        <w:tab/>
        <w:t xml:space="preserve">         Старший помощник прокурора </w:t>
      </w:r>
    </w:p>
    <w:p w:rsidR="00AD5B42" w:rsidRPr="00AD5B42" w:rsidRDefault="00AD5B42" w:rsidP="00AD5B42">
      <w:pPr>
        <w:spacing w:after="0" w:line="254" w:lineRule="auto"/>
        <w:jc w:val="right"/>
        <w:rPr>
          <w:rFonts w:ascii="Times New Roman" w:eastAsia="Calibri" w:hAnsi="Times New Roman" w:cs="Times New Roman"/>
          <w:sz w:val="28"/>
          <w:szCs w:val="28"/>
        </w:rPr>
      </w:pPr>
      <w:r w:rsidRPr="00AD5B42">
        <w:rPr>
          <w:rFonts w:ascii="Times New Roman" w:eastAsia="Calibri" w:hAnsi="Times New Roman" w:cs="Times New Roman"/>
          <w:sz w:val="28"/>
          <w:szCs w:val="28"/>
        </w:rPr>
        <w:t>г. Усолье-Сибирское</w:t>
      </w:r>
    </w:p>
    <w:p w:rsidR="00AD5B42" w:rsidRPr="00AD5B42" w:rsidRDefault="00AD5B42" w:rsidP="00AD5B42">
      <w:pPr>
        <w:spacing w:line="254" w:lineRule="auto"/>
        <w:jc w:val="right"/>
        <w:rPr>
          <w:rFonts w:ascii="Times New Roman" w:eastAsia="Calibri" w:hAnsi="Times New Roman" w:cs="Times New Roman"/>
          <w:sz w:val="28"/>
          <w:szCs w:val="28"/>
        </w:rPr>
      </w:pPr>
      <w:r w:rsidRPr="00AD5B42">
        <w:rPr>
          <w:rFonts w:ascii="Times New Roman" w:eastAsia="Calibri" w:hAnsi="Times New Roman" w:cs="Times New Roman"/>
          <w:sz w:val="28"/>
          <w:szCs w:val="28"/>
        </w:rPr>
        <w:t>Попова А. Г.</w:t>
      </w:r>
    </w:p>
    <w:p w:rsidR="00AD5B42" w:rsidRPr="008A154F" w:rsidRDefault="00AD5B42" w:rsidP="00AD5B42">
      <w:pPr>
        <w:spacing w:after="0"/>
        <w:jc w:val="both"/>
        <w:rPr>
          <w:rFonts w:ascii="Times New Roman" w:hAnsi="Times New Roman" w:cs="Times New Roman"/>
          <w:sz w:val="28"/>
          <w:szCs w:val="28"/>
        </w:rPr>
      </w:pPr>
    </w:p>
    <w:sectPr w:rsidR="00AD5B42" w:rsidRPr="008A15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4D7"/>
    <w:rsid w:val="00000E25"/>
    <w:rsid w:val="000574C2"/>
    <w:rsid w:val="005870DD"/>
    <w:rsid w:val="00624C00"/>
    <w:rsid w:val="008A154F"/>
    <w:rsid w:val="00A722BB"/>
    <w:rsid w:val="00AD5B42"/>
    <w:rsid w:val="00BA0776"/>
    <w:rsid w:val="00FD2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4DBC8"/>
  <w15:chartTrackingRefBased/>
  <w15:docId w15:val="{4A978882-ACF6-4338-872B-01C103F81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556104">
      <w:bodyDiv w:val="1"/>
      <w:marLeft w:val="0"/>
      <w:marRight w:val="0"/>
      <w:marTop w:val="0"/>
      <w:marBottom w:val="0"/>
      <w:divBdr>
        <w:top w:val="none" w:sz="0" w:space="0" w:color="auto"/>
        <w:left w:val="none" w:sz="0" w:space="0" w:color="auto"/>
        <w:bottom w:val="none" w:sz="0" w:space="0" w:color="auto"/>
        <w:right w:val="none" w:sz="0" w:space="0" w:color="auto"/>
      </w:divBdr>
    </w:div>
    <w:div w:id="111483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520</Words>
  <Characters>2968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viene</dc:creator>
  <cp:keywords/>
  <dc:description/>
  <cp:lastModifiedBy>viene</cp:lastModifiedBy>
  <cp:revision>8</cp:revision>
  <dcterms:created xsi:type="dcterms:W3CDTF">2026-06-24T06:53:00Z</dcterms:created>
  <dcterms:modified xsi:type="dcterms:W3CDTF">2026-06-29T02:56:00Z</dcterms:modified>
</cp:coreProperties>
</file>